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1D7C" w14:textId="64177CAD" w:rsidR="00C54954" w:rsidRDefault="00C54954" w:rsidP="00C54954">
      <w:pPr>
        <w:pStyle w:val="Akapitzlist"/>
        <w:numPr>
          <w:ilvl w:val="0"/>
          <w:numId w:val="1"/>
        </w:numPr>
        <w:tabs>
          <w:tab w:val="left" w:pos="509"/>
        </w:tabs>
        <w:jc w:val="both"/>
      </w:pPr>
      <w:r w:rsidRPr="00C54954">
        <w:t xml:space="preserve">W związku z zastrzeżeniem sobie przez Zamawiającego możliwości ubezpieczenia przedmiotu zamówienia we własnym zakresie, czy Zamawiający ubezpieczy przedmiot zgodnie z wymogami Wykonawcy (finansującego) oraz przedstawi Wykonawcy(finansującemu) do akceptacji warunki ubezpieczenia? </w:t>
      </w:r>
    </w:p>
    <w:p w14:paraId="68E27068" w14:textId="77777777" w:rsidR="00DF1D9B" w:rsidRDefault="00DF1D9B" w:rsidP="00DF1D9B">
      <w:pPr>
        <w:pStyle w:val="Akapitzlist"/>
        <w:tabs>
          <w:tab w:val="left" w:pos="509"/>
        </w:tabs>
        <w:ind w:left="869"/>
        <w:jc w:val="both"/>
      </w:pPr>
    </w:p>
    <w:p w14:paraId="48FEA84A" w14:textId="3B0D25AC" w:rsidR="00DF1D9B" w:rsidRPr="0018764E" w:rsidRDefault="00DF1D9B" w:rsidP="00DF1D9B">
      <w:pPr>
        <w:pStyle w:val="Akapitzlist"/>
        <w:tabs>
          <w:tab w:val="left" w:pos="509"/>
        </w:tabs>
        <w:ind w:left="869"/>
        <w:jc w:val="both"/>
        <w:rPr>
          <w:b/>
          <w:bCs/>
        </w:rPr>
      </w:pPr>
      <w:r w:rsidRPr="0018764E">
        <w:rPr>
          <w:b/>
          <w:bCs/>
        </w:rPr>
        <w:t>Odpowiedź:</w:t>
      </w:r>
    </w:p>
    <w:p w14:paraId="6111487C" w14:textId="3DE9EF70" w:rsidR="00DF1D9B" w:rsidRDefault="00A344E2" w:rsidP="00DF1D9B">
      <w:pPr>
        <w:pStyle w:val="Akapitzlist"/>
        <w:tabs>
          <w:tab w:val="left" w:pos="509"/>
        </w:tabs>
        <w:ind w:left="869"/>
        <w:jc w:val="both"/>
      </w:pPr>
      <w:r>
        <w:t>Zamawiający</w:t>
      </w:r>
      <w:r w:rsidR="00DF1D9B">
        <w:t xml:space="preserve"> ubezpieczy przedmiot leasingu zgodnie z wymogami</w:t>
      </w:r>
      <w:r w:rsidR="00841AE2">
        <w:t xml:space="preserve"> Wykonawcy (</w:t>
      </w:r>
      <w:r w:rsidR="00233F7F">
        <w:t>finansującego</w:t>
      </w:r>
      <w:r w:rsidR="00841AE2">
        <w:t>).</w:t>
      </w:r>
    </w:p>
    <w:p w14:paraId="39C804D1" w14:textId="77777777" w:rsidR="00233F7F" w:rsidRDefault="00233F7F" w:rsidP="00DF1D9B">
      <w:pPr>
        <w:pStyle w:val="Akapitzlist"/>
        <w:tabs>
          <w:tab w:val="left" w:pos="509"/>
        </w:tabs>
        <w:ind w:left="869"/>
        <w:jc w:val="both"/>
      </w:pPr>
    </w:p>
    <w:p w14:paraId="2BDE9912" w14:textId="52936B09" w:rsidR="00C54954" w:rsidRDefault="00C54954" w:rsidP="00C54954">
      <w:pPr>
        <w:pStyle w:val="Akapitzlist"/>
        <w:numPr>
          <w:ilvl w:val="0"/>
          <w:numId w:val="1"/>
        </w:numPr>
        <w:tabs>
          <w:tab w:val="left" w:pos="509"/>
        </w:tabs>
        <w:jc w:val="both"/>
      </w:pPr>
      <w:r w:rsidRPr="006221A5">
        <w:t>Czy Zamawiający zgadza się</w:t>
      </w:r>
      <w:r w:rsidR="00233F7F">
        <w:t>,</w:t>
      </w:r>
      <w:r w:rsidRPr="006221A5">
        <w:t xml:space="preserve"> aby Tabela Opłat i Prowizji stanowiła załącznik do umowy leasingu, a tym samym czy Zamawiający zgadza się na ponoszenie opłat zgodnie z </w:t>
      </w:r>
      <w:proofErr w:type="spellStart"/>
      <w:r w:rsidRPr="006221A5">
        <w:t>TOiP</w:t>
      </w:r>
      <w:proofErr w:type="spellEnd"/>
      <w:r w:rsidRPr="006221A5">
        <w:t xml:space="preserve"> za dodatkowe czynności i usług w tej tabeli przewidziane? </w:t>
      </w:r>
    </w:p>
    <w:p w14:paraId="348346C6" w14:textId="77777777" w:rsidR="00501B40" w:rsidRDefault="00501B40" w:rsidP="00841AE2">
      <w:pPr>
        <w:pStyle w:val="Akapitzlist"/>
        <w:tabs>
          <w:tab w:val="left" w:pos="509"/>
        </w:tabs>
        <w:ind w:left="869"/>
        <w:jc w:val="both"/>
      </w:pPr>
    </w:p>
    <w:p w14:paraId="1FEECD17" w14:textId="028B492F" w:rsidR="00841AE2" w:rsidRPr="0018764E" w:rsidRDefault="00501B40" w:rsidP="00841AE2">
      <w:pPr>
        <w:pStyle w:val="Akapitzlist"/>
        <w:tabs>
          <w:tab w:val="left" w:pos="509"/>
        </w:tabs>
        <w:ind w:left="869"/>
        <w:jc w:val="both"/>
        <w:rPr>
          <w:b/>
          <w:bCs/>
        </w:rPr>
      </w:pPr>
      <w:r w:rsidRPr="0018764E">
        <w:rPr>
          <w:b/>
          <w:bCs/>
        </w:rPr>
        <w:t>Odpowiedź:</w:t>
      </w:r>
    </w:p>
    <w:p w14:paraId="56C83BE8" w14:textId="17DD097E" w:rsidR="00501B40" w:rsidRPr="0018764E" w:rsidRDefault="00501B40" w:rsidP="00501B40">
      <w:pPr>
        <w:ind w:left="720"/>
        <w:rPr>
          <w:rFonts w:eastAsia="Times New Roman" w:cstheme="minorHAnsi"/>
        </w:rPr>
      </w:pPr>
      <w:r w:rsidRPr="0018764E">
        <w:rPr>
          <w:rFonts w:eastAsia="Times New Roman" w:cstheme="minorHAnsi"/>
        </w:rPr>
        <w:t>Zamawiający zgadza się, aby Tabelą opłat i prowizji stanowiła załącznik do umowy leasingu.</w:t>
      </w:r>
    </w:p>
    <w:p w14:paraId="5AAF17C2" w14:textId="1CB82A76" w:rsidR="00501B40" w:rsidRPr="0018764E" w:rsidRDefault="00A9386E" w:rsidP="00501B40">
      <w:pPr>
        <w:ind w:left="720"/>
        <w:rPr>
          <w:rFonts w:eastAsia="Times New Roman" w:cstheme="minorHAnsi"/>
        </w:rPr>
      </w:pPr>
      <w:r w:rsidRPr="0018764E">
        <w:rPr>
          <w:rFonts w:eastAsia="Times New Roman" w:cstheme="minorHAnsi"/>
        </w:rPr>
        <w:t>Tabela opłat musi być zgodna z zapisami SWZ i wzoru umowy zasadniczej (zał. 4 do SWZ).</w:t>
      </w:r>
    </w:p>
    <w:p w14:paraId="237CB728" w14:textId="44E421CB" w:rsidR="00501B40" w:rsidRPr="0018764E" w:rsidRDefault="00501B40" w:rsidP="00632278">
      <w:pPr>
        <w:ind w:left="720"/>
        <w:rPr>
          <w:rFonts w:eastAsia="Times New Roman" w:cstheme="minorHAnsi"/>
        </w:rPr>
      </w:pPr>
      <w:r w:rsidRPr="0018764E">
        <w:rPr>
          <w:rFonts w:eastAsia="Times New Roman" w:cstheme="minorHAnsi"/>
        </w:rPr>
        <w:t xml:space="preserve">Zamawiający zaznacza, że ewentualne </w:t>
      </w:r>
      <w:r w:rsidR="00632278" w:rsidRPr="0018764E">
        <w:rPr>
          <w:rFonts w:eastAsia="Times New Roman" w:cstheme="minorHAnsi"/>
        </w:rPr>
        <w:t xml:space="preserve">comiesięczne </w:t>
      </w:r>
      <w:r w:rsidRPr="0018764E">
        <w:rPr>
          <w:rFonts w:eastAsia="Times New Roman" w:cstheme="minorHAnsi"/>
        </w:rPr>
        <w:t>opłaty</w:t>
      </w:r>
      <w:r w:rsidR="00632278" w:rsidRPr="0018764E">
        <w:rPr>
          <w:rFonts w:eastAsia="Times New Roman" w:cstheme="minorHAnsi"/>
        </w:rPr>
        <w:t xml:space="preserve"> ryczałtowe w formularzu ofertowym należy uwzględnić w racie leasingu.</w:t>
      </w:r>
    </w:p>
    <w:p w14:paraId="790FA89F" w14:textId="6586371F" w:rsidR="00632278" w:rsidRDefault="00C54954" w:rsidP="00501B40">
      <w:pPr>
        <w:pStyle w:val="Akapitzlist"/>
        <w:numPr>
          <w:ilvl w:val="0"/>
          <w:numId w:val="1"/>
        </w:numPr>
        <w:tabs>
          <w:tab w:val="left" w:pos="509"/>
        </w:tabs>
        <w:jc w:val="both"/>
      </w:pPr>
      <w:r>
        <w:t>Z</w:t>
      </w:r>
      <w:r w:rsidRPr="006221A5">
        <w:t>godnie z regulaminem Finansującego faktura VAT dotycząca wykupu zostanie wystawiona po zaksięgowaniu na rachunku Finansującego opłaty za wykup oraz uregulowaniu wszelkich należności wynikających z Umowy Leasingu. Czy Zamawiający wpłaci opłatę za wykup na podstawie faktury proforma?</w:t>
      </w:r>
    </w:p>
    <w:p w14:paraId="486FAA8F" w14:textId="77777777" w:rsidR="00632278" w:rsidRDefault="00632278" w:rsidP="00632278">
      <w:pPr>
        <w:pStyle w:val="Akapitzlist"/>
        <w:tabs>
          <w:tab w:val="left" w:pos="509"/>
        </w:tabs>
        <w:ind w:left="869"/>
        <w:jc w:val="both"/>
      </w:pPr>
    </w:p>
    <w:p w14:paraId="30FE9716" w14:textId="02156411" w:rsidR="00632278" w:rsidRPr="0018764E" w:rsidRDefault="00632278" w:rsidP="00632278">
      <w:pPr>
        <w:pStyle w:val="Akapitzlist"/>
        <w:tabs>
          <w:tab w:val="left" w:pos="509"/>
        </w:tabs>
        <w:ind w:left="869"/>
        <w:jc w:val="both"/>
        <w:rPr>
          <w:b/>
          <w:bCs/>
        </w:rPr>
      </w:pPr>
      <w:r w:rsidRPr="0018764E">
        <w:rPr>
          <w:b/>
          <w:bCs/>
        </w:rPr>
        <w:t xml:space="preserve">Odpowiedź: </w:t>
      </w:r>
    </w:p>
    <w:p w14:paraId="726FE78E" w14:textId="117ED66F" w:rsidR="007E756A" w:rsidRDefault="00632278" w:rsidP="007E756A">
      <w:pPr>
        <w:pStyle w:val="Akapitzlist"/>
        <w:tabs>
          <w:tab w:val="left" w:pos="509"/>
        </w:tabs>
        <w:ind w:left="869"/>
        <w:jc w:val="both"/>
      </w:pPr>
      <w:r>
        <w:t>Zamawiający nie wyraża zgody na wystawienie faktury proforma za wykup</w:t>
      </w:r>
      <w:r w:rsidR="00342FEA">
        <w:t>, wyraża zgodę na wystawienie faktury zaliczkowej lub końcowej.</w:t>
      </w:r>
    </w:p>
    <w:p w14:paraId="5C89542D" w14:textId="77777777" w:rsidR="00342FEA" w:rsidRDefault="00342FEA" w:rsidP="007E756A">
      <w:pPr>
        <w:pStyle w:val="Akapitzlist"/>
        <w:tabs>
          <w:tab w:val="left" w:pos="509"/>
        </w:tabs>
        <w:ind w:left="869"/>
        <w:jc w:val="both"/>
      </w:pPr>
    </w:p>
    <w:p w14:paraId="2DDCDC91" w14:textId="24C34662" w:rsidR="00C54954" w:rsidRDefault="00C54954" w:rsidP="00C54954">
      <w:pPr>
        <w:pStyle w:val="Akapitzlist"/>
        <w:numPr>
          <w:ilvl w:val="0"/>
          <w:numId w:val="1"/>
        </w:numPr>
        <w:tabs>
          <w:tab w:val="left" w:pos="509"/>
        </w:tabs>
        <w:jc w:val="both"/>
      </w:pPr>
      <w:r w:rsidRPr="006221A5">
        <w:t>Wykonawca wnosi o zgodę na poniższy sposób rozliczeń: a)</w:t>
      </w:r>
      <w:r w:rsidR="00632278">
        <w:t xml:space="preserve"> </w:t>
      </w:r>
      <w:r w:rsidRPr="006221A5">
        <w:t>Zamawiający będzie dokonywał rozliczeń i zgłoszeń dotyczących opłat leasingowych, ubezpieczenia i innych związanych z umową z Finansującym b) Zamawiający będzie dokonywał zgłoszeń wynikających z gwarancji i serwisu przedmiotu leasingu bezpośrednio z Dostawcą przedmiotu leasingu</w:t>
      </w:r>
      <w:r>
        <w:t>.</w:t>
      </w:r>
    </w:p>
    <w:p w14:paraId="77B087C6" w14:textId="77777777" w:rsidR="0018764E" w:rsidRDefault="0018764E" w:rsidP="0018764E">
      <w:pPr>
        <w:pStyle w:val="Akapitzlist"/>
        <w:tabs>
          <w:tab w:val="left" w:pos="509"/>
        </w:tabs>
        <w:ind w:left="869"/>
        <w:jc w:val="both"/>
      </w:pPr>
    </w:p>
    <w:p w14:paraId="5E3AD6C9" w14:textId="7F1B3F9F" w:rsidR="00501B40" w:rsidRPr="0018764E" w:rsidRDefault="00632278" w:rsidP="00501B40">
      <w:pPr>
        <w:pStyle w:val="Akapitzlist"/>
        <w:tabs>
          <w:tab w:val="left" w:pos="509"/>
        </w:tabs>
        <w:ind w:left="869"/>
        <w:jc w:val="both"/>
        <w:rPr>
          <w:b/>
          <w:bCs/>
        </w:rPr>
      </w:pPr>
      <w:r w:rsidRPr="0018764E">
        <w:rPr>
          <w:b/>
          <w:bCs/>
        </w:rPr>
        <w:t>Odpowiedź:</w:t>
      </w:r>
    </w:p>
    <w:p w14:paraId="5A49CB7F" w14:textId="79D92379" w:rsidR="00632278" w:rsidRDefault="00632278" w:rsidP="00501B40">
      <w:pPr>
        <w:pStyle w:val="Akapitzlist"/>
        <w:tabs>
          <w:tab w:val="left" w:pos="509"/>
        </w:tabs>
        <w:ind w:left="869"/>
        <w:jc w:val="both"/>
      </w:pPr>
      <w:r>
        <w:t>Zamawiający potwierdza, że taki sposób rozliczeń</w:t>
      </w:r>
      <w:r w:rsidR="00A9386E">
        <w:t xml:space="preserve"> jest opisany w SWZ.</w:t>
      </w:r>
    </w:p>
    <w:p w14:paraId="53589DF9" w14:textId="77777777" w:rsidR="00A9386E" w:rsidRDefault="00A9386E" w:rsidP="00501B40">
      <w:pPr>
        <w:pStyle w:val="Akapitzlist"/>
        <w:tabs>
          <w:tab w:val="left" w:pos="509"/>
        </w:tabs>
        <w:ind w:left="869"/>
        <w:jc w:val="both"/>
      </w:pPr>
    </w:p>
    <w:p w14:paraId="0D067AF9" w14:textId="79534108" w:rsidR="00C54954" w:rsidRDefault="00C54954" w:rsidP="00C54954">
      <w:pPr>
        <w:pStyle w:val="Akapitzlist"/>
        <w:numPr>
          <w:ilvl w:val="0"/>
          <w:numId w:val="1"/>
        </w:numPr>
        <w:tabs>
          <w:tab w:val="left" w:pos="509"/>
        </w:tabs>
        <w:jc w:val="both"/>
      </w:pPr>
      <w:r w:rsidRPr="006221A5">
        <w:lastRenderedPageBreak/>
        <w:t xml:space="preserve">Wykonawca zwraca się z uprzejmą prośbą o taką zmianę treści Par 20 Wzoru Umowy, aby wynikało z niego, że zobowiązania opisane w tym punkcie Wykonawca ponosi jedynie do chwili wydania przedmiotu leasingu do używania Zamawiającemu jako Korzystającemu, co zostanie potwierdzone podpisanym protokołem odbioru. Wykonawca wyjaśnia, iż jako Finansujący, od chwili objęcia przedmiotu leasingu przez Korzystającego w posiadanie, nie może ponosić jakiejkolwiek odpowiedzialności za jakiekolwiek szkody wyrządzone przez przedmiot leasingu ani być ponosić odpowiedzialności za przestrzeganie jakichkolwiek regulacji dotyczących przedmiotu leasingu. Od chwili objęcia go w posiadanie, pełna odpowiedzialność za wspomniane szkody i przestrzeganie wszelkich regulacji dotyczących przedmiotu leasingu spoczywa na Korzystającym, jako że to on (bądź osoby którym powierzył używanie przedmiotu leasingu) będzie ten przedmiot użytkował i odpowiedzialność za szkody wyrządzone przez przedmiot leasingu w okresie obowiązywania umowy będzie spoczywała wyłącznie na Zamawiającym. Finansujący nie może ponosić odpowiedzialność za działania Korzystającego. UWAGA – jeśli Zamawiający nie wyrazi zgody na powyższą zmianę, rekomendacja </w:t>
      </w:r>
      <w:proofErr w:type="spellStart"/>
      <w:r w:rsidRPr="006221A5">
        <w:t>Legal</w:t>
      </w:r>
      <w:proofErr w:type="spellEnd"/>
      <w:r w:rsidRPr="006221A5">
        <w:t xml:space="preserve"> będzie negatywna.</w:t>
      </w:r>
    </w:p>
    <w:p w14:paraId="5B6DAB1F" w14:textId="77777777" w:rsidR="00233F7F" w:rsidRDefault="00233F7F" w:rsidP="00233F7F">
      <w:pPr>
        <w:pStyle w:val="Akapitzlist"/>
        <w:tabs>
          <w:tab w:val="left" w:pos="509"/>
        </w:tabs>
        <w:ind w:left="869"/>
        <w:jc w:val="both"/>
      </w:pPr>
    </w:p>
    <w:p w14:paraId="1817C9C2" w14:textId="1AEBA27E" w:rsidR="0011294F" w:rsidRPr="0018764E" w:rsidRDefault="0011294F" w:rsidP="00233F7F">
      <w:pPr>
        <w:pStyle w:val="Akapitzlist"/>
        <w:tabs>
          <w:tab w:val="left" w:pos="509"/>
        </w:tabs>
        <w:ind w:left="869"/>
        <w:jc w:val="both"/>
        <w:rPr>
          <w:b/>
          <w:bCs/>
        </w:rPr>
      </w:pPr>
      <w:r w:rsidRPr="0018764E">
        <w:rPr>
          <w:b/>
          <w:bCs/>
        </w:rPr>
        <w:t xml:space="preserve">Odpowiedź: </w:t>
      </w:r>
    </w:p>
    <w:p w14:paraId="62CD6D02" w14:textId="18986A69" w:rsidR="00233F7F" w:rsidRDefault="00D363FD" w:rsidP="00233F7F">
      <w:pPr>
        <w:pStyle w:val="Akapitzlist"/>
        <w:tabs>
          <w:tab w:val="left" w:pos="509"/>
        </w:tabs>
        <w:ind w:left="869"/>
        <w:jc w:val="both"/>
      </w:pPr>
      <w:r>
        <w:t>Zamawiający</w:t>
      </w:r>
      <w:r w:rsidR="00233F7F">
        <w:t xml:space="preserve"> </w:t>
      </w:r>
      <w:r>
        <w:t>potwierdza, że zobowiązania wynikające z  § 2 dotyczą Wykonawcy tylko d</w:t>
      </w:r>
      <w:r w:rsidR="0011294F">
        <w:t>o</w:t>
      </w:r>
      <w:r>
        <w:t xml:space="preserve"> ch</w:t>
      </w:r>
      <w:r w:rsidR="0011294F">
        <w:t>w</w:t>
      </w:r>
      <w:r>
        <w:t xml:space="preserve">ili wydania przedmiotu </w:t>
      </w:r>
      <w:r w:rsidR="0011294F">
        <w:t>leasingu do używania</w:t>
      </w:r>
      <w:r w:rsidR="007B046F">
        <w:t xml:space="preserve"> </w:t>
      </w:r>
      <w:r w:rsidR="0011294F" w:rsidRPr="006221A5">
        <w:t>Zamawiającemu jako Korzystającemu, co zostanie potwierdzone podpisanym protokołem odbioru.</w:t>
      </w:r>
    </w:p>
    <w:p w14:paraId="581294A4" w14:textId="5946C077" w:rsidR="0011294F" w:rsidRDefault="0011294F" w:rsidP="00233F7F">
      <w:pPr>
        <w:pStyle w:val="Akapitzlist"/>
        <w:tabs>
          <w:tab w:val="left" w:pos="509"/>
        </w:tabs>
        <w:ind w:left="869"/>
        <w:jc w:val="both"/>
      </w:pPr>
      <w:r w:rsidRPr="006221A5">
        <w:t xml:space="preserve">Od chwili objęcia </w:t>
      </w:r>
      <w:r w:rsidR="007B046F">
        <w:t>przedmiotu leasingu</w:t>
      </w:r>
      <w:r w:rsidRPr="006221A5">
        <w:t xml:space="preserve"> w posiadanie, pełna odpowiedzialność za szkody i przestrzeganie wszelkich regulacji dotyczących przedmiotu leasingu spoczywa na </w:t>
      </w:r>
      <w:r w:rsidR="007B046F">
        <w:t>Zamawiającym (</w:t>
      </w:r>
      <w:r w:rsidRPr="006221A5">
        <w:t>Korzystającym</w:t>
      </w:r>
      <w:r w:rsidR="007B046F">
        <w:t>).</w:t>
      </w:r>
    </w:p>
    <w:p w14:paraId="102BF407" w14:textId="77777777" w:rsidR="00342FEA" w:rsidRDefault="00342FEA" w:rsidP="00342FEA">
      <w:pPr>
        <w:pStyle w:val="Akapitzlist"/>
        <w:tabs>
          <w:tab w:val="left" w:pos="509"/>
        </w:tabs>
        <w:ind w:left="869"/>
        <w:jc w:val="both"/>
      </w:pPr>
    </w:p>
    <w:p w14:paraId="4CA86332" w14:textId="1B6F1958" w:rsidR="00C54954" w:rsidRDefault="00C54954" w:rsidP="00C54954">
      <w:pPr>
        <w:pStyle w:val="Akapitzlist"/>
        <w:numPr>
          <w:ilvl w:val="0"/>
          <w:numId w:val="1"/>
        </w:numPr>
        <w:tabs>
          <w:tab w:val="left" w:pos="509"/>
        </w:tabs>
        <w:jc w:val="both"/>
      </w:pPr>
      <w:r w:rsidRPr="006221A5">
        <w:t>Wykonawca zwraca się z uprzejmą prośbą o taką zmianę treści Par 9 Wzoru Umowy (WU), aby wynikało z niego</w:t>
      </w:r>
      <w:r w:rsidR="007B046F">
        <w:t>,</w:t>
      </w:r>
      <w:r w:rsidRPr="006221A5">
        <w:t xml:space="preserve"> że Wykonawca zapewnia udzielenie gwarancji (przez dostawcę bądź producenta przedmiotu leasingu) na warunkach określonych w SWZ i WU. Wykonawca wyjaśnia, iż będąc instytucją finansową, nie może udzielić gwarancji na jakikolwiek finansowany przez siebie przedmiot. Dodatkowo, Wykonawca zwraca uwagę, że Zamawiający w Pkt 14 i 15 SWZ sam wskazał iż jest świadom tego, że gwarancja będzie udzielona przez dostawcę bądź producenta przedmiotu leasingu a nie bezpośrednio przez Wykonawcę.</w:t>
      </w:r>
    </w:p>
    <w:p w14:paraId="284AA6F4" w14:textId="77777777" w:rsidR="00DF1D9B" w:rsidRPr="00C54954" w:rsidRDefault="00DF1D9B" w:rsidP="00DF1D9B">
      <w:pPr>
        <w:pStyle w:val="Akapitzlist"/>
        <w:tabs>
          <w:tab w:val="left" w:pos="509"/>
        </w:tabs>
        <w:ind w:left="869"/>
        <w:jc w:val="both"/>
      </w:pPr>
    </w:p>
    <w:p w14:paraId="3643458C" w14:textId="77777777" w:rsidR="00503C9A" w:rsidRPr="0018764E" w:rsidRDefault="00503C9A" w:rsidP="00C54954">
      <w:pPr>
        <w:jc w:val="both"/>
        <w:rPr>
          <w:b/>
          <w:bCs/>
        </w:rPr>
      </w:pPr>
      <w:r w:rsidRPr="0018764E">
        <w:rPr>
          <w:b/>
          <w:bCs/>
        </w:rPr>
        <w:t>Odpowiedź:</w:t>
      </w:r>
    </w:p>
    <w:p w14:paraId="11C1530F" w14:textId="5CF9B26A" w:rsidR="001C0C9A" w:rsidRPr="00C54954" w:rsidRDefault="003045BF" w:rsidP="00C54954">
      <w:pPr>
        <w:jc w:val="both"/>
      </w:pPr>
      <w:r>
        <w:t>Zamawiający zmodyfikował zapisy § 9 ust. 1 i 5 wzoru umowy, poprzez wskazanie Wykonawcy jako zapewniającego gwarancję.</w:t>
      </w:r>
    </w:p>
    <w:sectPr w:rsidR="001C0C9A" w:rsidRPr="00C549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65D4" w14:textId="77777777" w:rsidR="00301D25" w:rsidRDefault="00301D25" w:rsidP="00DF1D9B">
      <w:pPr>
        <w:spacing w:after="0" w:line="240" w:lineRule="auto"/>
      </w:pPr>
      <w:r>
        <w:separator/>
      </w:r>
    </w:p>
  </w:endnote>
  <w:endnote w:type="continuationSeparator" w:id="0">
    <w:p w14:paraId="5815584C" w14:textId="77777777" w:rsidR="00301D25" w:rsidRDefault="00301D25" w:rsidP="00DF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769D" w14:textId="77777777" w:rsidR="00301D25" w:rsidRDefault="00301D25" w:rsidP="00DF1D9B">
      <w:pPr>
        <w:spacing w:after="0" w:line="240" w:lineRule="auto"/>
      </w:pPr>
      <w:r>
        <w:separator/>
      </w:r>
    </w:p>
  </w:footnote>
  <w:footnote w:type="continuationSeparator" w:id="0">
    <w:p w14:paraId="4C5C4A87" w14:textId="77777777" w:rsidR="00301D25" w:rsidRDefault="00301D25" w:rsidP="00DF1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85D93"/>
    <w:multiLevelType w:val="hybridMultilevel"/>
    <w:tmpl w:val="381029DC"/>
    <w:lvl w:ilvl="0" w:tplc="FFFFFFFF">
      <w:start w:val="1"/>
      <w:numFmt w:val="decimal"/>
      <w:lvlText w:val="%1."/>
      <w:lvlJc w:val="left"/>
      <w:pPr>
        <w:ind w:left="869" w:hanging="360"/>
      </w:pPr>
      <w:rPr>
        <w:rFonts w:hint="default"/>
        <w:b w:val="0"/>
      </w:rPr>
    </w:lvl>
    <w:lvl w:ilvl="1" w:tplc="FFFFFFFF" w:tentative="1">
      <w:start w:val="1"/>
      <w:numFmt w:val="lowerLetter"/>
      <w:lvlText w:val="%2."/>
      <w:lvlJc w:val="left"/>
      <w:pPr>
        <w:ind w:left="1589" w:hanging="360"/>
      </w:pPr>
    </w:lvl>
    <w:lvl w:ilvl="2" w:tplc="FFFFFFFF" w:tentative="1">
      <w:start w:val="1"/>
      <w:numFmt w:val="lowerRoman"/>
      <w:lvlText w:val="%3."/>
      <w:lvlJc w:val="right"/>
      <w:pPr>
        <w:ind w:left="2309" w:hanging="180"/>
      </w:pPr>
    </w:lvl>
    <w:lvl w:ilvl="3" w:tplc="FFFFFFFF" w:tentative="1">
      <w:start w:val="1"/>
      <w:numFmt w:val="decimal"/>
      <w:lvlText w:val="%4."/>
      <w:lvlJc w:val="left"/>
      <w:pPr>
        <w:ind w:left="3029" w:hanging="360"/>
      </w:pPr>
    </w:lvl>
    <w:lvl w:ilvl="4" w:tplc="FFFFFFFF" w:tentative="1">
      <w:start w:val="1"/>
      <w:numFmt w:val="lowerLetter"/>
      <w:lvlText w:val="%5."/>
      <w:lvlJc w:val="left"/>
      <w:pPr>
        <w:ind w:left="3749" w:hanging="360"/>
      </w:pPr>
    </w:lvl>
    <w:lvl w:ilvl="5" w:tplc="FFFFFFFF" w:tentative="1">
      <w:start w:val="1"/>
      <w:numFmt w:val="lowerRoman"/>
      <w:lvlText w:val="%6."/>
      <w:lvlJc w:val="right"/>
      <w:pPr>
        <w:ind w:left="4469" w:hanging="180"/>
      </w:pPr>
    </w:lvl>
    <w:lvl w:ilvl="6" w:tplc="FFFFFFFF" w:tentative="1">
      <w:start w:val="1"/>
      <w:numFmt w:val="decimal"/>
      <w:lvlText w:val="%7."/>
      <w:lvlJc w:val="left"/>
      <w:pPr>
        <w:ind w:left="5189" w:hanging="360"/>
      </w:pPr>
    </w:lvl>
    <w:lvl w:ilvl="7" w:tplc="FFFFFFFF" w:tentative="1">
      <w:start w:val="1"/>
      <w:numFmt w:val="lowerLetter"/>
      <w:lvlText w:val="%8."/>
      <w:lvlJc w:val="left"/>
      <w:pPr>
        <w:ind w:left="5909" w:hanging="360"/>
      </w:pPr>
    </w:lvl>
    <w:lvl w:ilvl="8" w:tplc="FFFFFFFF" w:tentative="1">
      <w:start w:val="1"/>
      <w:numFmt w:val="lowerRoman"/>
      <w:lvlText w:val="%9."/>
      <w:lvlJc w:val="right"/>
      <w:pPr>
        <w:ind w:left="6629" w:hanging="180"/>
      </w:pPr>
    </w:lvl>
  </w:abstractNum>
  <w:abstractNum w:abstractNumId="1" w15:restartNumberingAfterBreak="0">
    <w:nsid w:val="47DB6688"/>
    <w:multiLevelType w:val="hybridMultilevel"/>
    <w:tmpl w:val="381029DC"/>
    <w:lvl w:ilvl="0" w:tplc="7D163B60">
      <w:start w:val="1"/>
      <w:numFmt w:val="decimal"/>
      <w:lvlText w:val="%1."/>
      <w:lvlJc w:val="left"/>
      <w:pPr>
        <w:ind w:left="869" w:hanging="360"/>
      </w:pPr>
      <w:rPr>
        <w:rFonts w:hint="default"/>
        <w:b w:val="0"/>
      </w:rPr>
    </w:lvl>
    <w:lvl w:ilvl="1" w:tplc="04150019" w:tentative="1">
      <w:start w:val="1"/>
      <w:numFmt w:val="lowerLetter"/>
      <w:lvlText w:val="%2."/>
      <w:lvlJc w:val="left"/>
      <w:pPr>
        <w:ind w:left="1589" w:hanging="360"/>
      </w:pPr>
    </w:lvl>
    <w:lvl w:ilvl="2" w:tplc="0415001B" w:tentative="1">
      <w:start w:val="1"/>
      <w:numFmt w:val="lowerRoman"/>
      <w:lvlText w:val="%3."/>
      <w:lvlJc w:val="right"/>
      <w:pPr>
        <w:ind w:left="2309" w:hanging="180"/>
      </w:pPr>
    </w:lvl>
    <w:lvl w:ilvl="3" w:tplc="0415000F" w:tentative="1">
      <w:start w:val="1"/>
      <w:numFmt w:val="decimal"/>
      <w:lvlText w:val="%4."/>
      <w:lvlJc w:val="left"/>
      <w:pPr>
        <w:ind w:left="3029" w:hanging="360"/>
      </w:pPr>
    </w:lvl>
    <w:lvl w:ilvl="4" w:tplc="04150019" w:tentative="1">
      <w:start w:val="1"/>
      <w:numFmt w:val="lowerLetter"/>
      <w:lvlText w:val="%5."/>
      <w:lvlJc w:val="left"/>
      <w:pPr>
        <w:ind w:left="3749" w:hanging="360"/>
      </w:pPr>
    </w:lvl>
    <w:lvl w:ilvl="5" w:tplc="0415001B" w:tentative="1">
      <w:start w:val="1"/>
      <w:numFmt w:val="lowerRoman"/>
      <w:lvlText w:val="%6."/>
      <w:lvlJc w:val="right"/>
      <w:pPr>
        <w:ind w:left="4469" w:hanging="180"/>
      </w:pPr>
    </w:lvl>
    <w:lvl w:ilvl="6" w:tplc="0415000F" w:tentative="1">
      <w:start w:val="1"/>
      <w:numFmt w:val="decimal"/>
      <w:lvlText w:val="%7."/>
      <w:lvlJc w:val="left"/>
      <w:pPr>
        <w:ind w:left="5189" w:hanging="360"/>
      </w:pPr>
    </w:lvl>
    <w:lvl w:ilvl="7" w:tplc="04150019" w:tentative="1">
      <w:start w:val="1"/>
      <w:numFmt w:val="lowerLetter"/>
      <w:lvlText w:val="%8."/>
      <w:lvlJc w:val="left"/>
      <w:pPr>
        <w:ind w:left="5909" w:hanging="360"/>
      </w:pPr>
    </w:lvl>
    <w:lvl w:ilvl="8" w:tplc="0415001B" w:tentative="1">
      <w:start w:val="1"/>
      <w:numFmt w:val="lowerRoman"/>
      <w:lvlText w:val="%9."/>
      <w:lvlJc w:val="right"/>
      <w:pPr>
        <w:ind w:left="6629" w:hanging="180"/>
      </w:pPr>
    </w:lvl>
  </w:abstractNum>
  <w:num w:numId="1" w16cid:durableId="1827238947">
    <w:abstractNumId w:val="1"/>
  </w:num>
  <w:num w:numId="2" w16cid:durableId="47318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A5"/>
    <w:rsid w:val="0011294F"/>
    <w:rsid w:val="0018764E"/>
    <w:rsid w:val="00196DAF"/>
    <w:rsid w:val="001C0C9A"/>
    <w:rsid w:val="00233146"/>
    <w:rsid w:val="00233F7F"/>
    <w:rsid w:val="00301D25"/>
    <w:rsid w:val="003045BF"/>
    <w:rsid w:val="00342FEA"/>
    <w:rsid w:val="00501B40"/>
    <w:rsid w:val="00503C9A"/>
    <w:rsid w:val="006221A5"/>
    <w:rsid w:val="00632278"/>
    <w:rsid w:val="007B046F"/>
    <w:rsid w:val="007E756A"/>
    <w:rsid w:val="00841AE2"/>
    <w:rsid w:val="00904626"/>
    <w:rsid w:val="00A344E2"/>
    <w:rsid w:val="00A65605"/>
    <w:rsid w:val="00A9386E"/>
    <w:rsid w:val="00C54954"/>
    <w:rsid w:val="00D363FD"/>
    <w:rsid w:val="00D44307"/>
    <w:rsid w:val="00DF1D9B"/>
    <w:rsid w:val="00E51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9F97"/>
  <w15:chartTrackingRefBased/>
  <w15:docId w15:val="{B3A1E8CD-3124-4C6B-87A2-A2270496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22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22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221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221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221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221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221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221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221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21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221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221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221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221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221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221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221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221A5"/>
    <w:rPr>
      <w:rFonts w:eastAsiaTheme="majorEastAsia" w:cstheme="majorBidi"/>
      <w:color w:val="272727" w:themeColor="text1" w:themeTint="D8"/>
    </w:rPr>
  </w:style>
  <w:style w:type="paragraph" w:styleId="Tytu">
    <w:name w:val="Title"/>
    <w:basedOn w:val="Normalny"/>
    <w:next w:val="Normalny"/>
    <w:link w:val="TytuZnak"/>
    <w:uiPriority w:val="10"/>
    <w:qFormat/>
    <w:rsid w:val="00622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21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21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21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221A5"/>
    <w:pPr>
      <w:spacing w:before="160"/>
      <w:jc w:val="center"/>
    </w:pPr>
    <w:rPr>
      <w:i/>
      <w:iCs/>
      <w:color w:val="404040" w:themeColor="text1" w:themeTint="BF"/>
    </w:rPr>
  </w:style>
  <w:style w:type="character" w:customStyle="1" w:styleId="CytatZnak">
    <w:name w:val="Cytat Znak"/>
    <w:basedOn w:val="Domylnaczcionkaakapitu"/>
    <w:link w:val="Cytat"/>
    <w:uiPriority w:val="29"/>
    <w:rsid w:val="006221A5"/>
    <w:rPr>
      <w:i/>
      <w:iCs/>
      <w:color w:val="404040" w:themeColor="text1" w:themeTint="BF"/>
    </w:rPr>
  </w:style>
  <w:style w:type="paragraph" w:styleId="Akapitzlist">
    <w:name w:val="List Paragraph"/>
    <w:basedOn w:val="Normalny"/>
    <w:uiPriority w:val="34"/>
    <w:qFormat/>
    <w:rsid w:val="006221A5"/>
    <w:pPr>
      <w:ind w:left="720"/>
      <w:contextualSpacing/>
    </w:pPr>
  </w:style>
  <w:style w:type="character" w:styleId="Wyrnienieintensywne">
    <w:name w:val="Intense Emphasis"/>
    <w:basedOn w:val="Domylnaczcionkaakapitu"/>
    <w:uiPriority w:val="21"/>
    <w:qFormat/>
    <w:rsid w:val="006221A5"/>
    <w:rPr>
      <w:i/>
      <w:iCs/>
      <w:color w:val="0F4761" w:themeColor="accent1" w:themeShade="BF"/>
    </w:rPr>
  </w:style>
  <w:style w:type="paragraph" w:styleId="Cytatintensywny">
    <w:name w:val="Intense Quote"/>
    <w:basedOn w:val="Normalny"/>
    <w:next w:val="Normalny"/>
    <w:link w:val="CytatintensywnyZnak"/>
    <w:uiPriority w:val="30"/>
    <w:qFormat/>
    <w:rsid w:val="00622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221A5"/>
    <w:rPr>
      <w:i/>
      <w:iCs/>
      <w:color w:val="0F4761" w:themeColor="accent1" w:themeShade="BF"/>
    </w:rPr>
  </w:style>
  <w:style w:type="character" w:styleId="Odwoanieintensywne">
    <w:name w:val="Intense Reference"/>
    <w:basedOn w:val="Domylnaczcionkaakapitu"/>
    <w:uiPriority w:val="32"/>
    <w:qFormat/>
    <w:rsid w:val="006221A5"/>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DF1D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1D9B"/>
    <w:rPr>
      <w:sz w:val="20"/>
      <w:szCs w:val="20"/>
    </w:rPr>
  </w:style>
  <w:style w:type="character" w:styleId="Odwoanieprzypisukocowego">
    <w:name w:val="endnote reference"/>
    <w:basedOn w:val="Domylnaczcionkaakapitu"/>
    <w:uiPriority w:val="99"/>
    <w:semiHidden/>
    <w:unhideWhenUsed/>
    <w:rsid w:val="00DF1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594</Words>
  <Characters>3565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Grzanowska</dc:creator>
  <cp:keywords/>
  <dc:description/>
  <cp:lastModifiedBy>GZK GZK</cp:lastModifiedBy>
  <cp:revision>4</cp:revision>
  <dcterms:created xsi:type="dcterms:W3CDTF">2026-03-11T06:11:00Z</dcterms:created>
  <dcterms:modified xsi:type="dcterms:W3CDTF">2026-03-11T12:39:00Z</dcterms:modified>
</cp:coreProperties>
</file>